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10F2" w:rsidRDefault="00ED10F2"/>
    <w:p w14:paraId="00000002" w14:textId="77777777" w:rsidR="00ED10F2" w:rsidRDefault="0064237A">
      <w:pPr>
        <w:pStyle w:val="Heading1"/>
        <w:jc w:val="center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ACSME 2021 - Thursday September 30</w:t>
      </w:r>
    </w:p>
    <w:p w14:paraId="00000003" w14:textId="77777777" w:rsidR="00ED10F2" w:rsidRDefault="00ED10F2"/>
    <w:tbl>
      <w:tblPr>
        <w:tblStyle w:val="a"/>
        <w:tblW w:w="20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2"/>
        <w:gridCol w:w="5861"/>
        <w:gridCol w:w="6251"/>
        <w:gridCol w:w="6707"/>
      </w:tblGrid>
      <w:tr w:rsidR="00ED10F2" w14:paraId="42B463AB" w14:textId="77777777">
        <w:tc>
          <w:tcPr>
            <w:tcW w:w="2102" w:type="dxa"/>
            <w:shd w:val="clear" w:color="auto" w:fill="C5E0B3"/>
          </w:tcPr>
          <w:p w14:paraId="00000004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 AEST</w:t>
            </w:r>
          </w:p>
          <w:p w14:paraId="00000005" w14:textId="77777777" w:rsidR="00ED10F2" w:rsidRDefault="00ED10F2">
            <w:pPr>
              <w:rPr>
                <w:sz w:val="28"/>
                <w:szCs w:val="28"/>
              </w:rPr>
            </w:pPr>
          </w:p>
        </w:tc>
        <w:tc>
          <w:tcPr>
            <w:tcW w:w="18819" w:type="dxa"/>
            <w:gridSpan w:val="3"/>
            <w:shd w:val="clear" w:color="auto" w:fill="C5E0B3"/>
          </w:tcPr>
          <w:p w14:paraId="00000006" w14:textId="77777777" w:rsidR="00ED10F2" w:rsidRDefault="0064237A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Discussion Panel: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What is the future of assessment?</w:t>
            </w:r>
          </w:p>
          <w:p w14:paraId="00000007" w14:textId="77777777" w:rsidR="00ED10F2" w:rsidRDefault="0064237A">
            <w:pPr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Stephen George-Williams (University of Sydney), Joanna Tai (Deakin University), Jo-</w:t>
            </w:r>
            <w:proofErr w:type="spellStart"/>
            <w:r>
              <w:rPr>
                <w:sz w:val="28"/>
                <w:szCs w:val="28"/>
              </w:rPr>
              <w:t>anne</w:t>
            </w:r>
            <w:proofErr w:type="spellEnd"/>
            <w:r>
              <w:rPr>
                <w:sz w:val="28"/>
                <w:szCs w:val="28"/>
              </w:rPr>
              <w:t xml:space="preserve"> Larkins (Federation University), Bonnie McBain (University of Newcastle), Adam Rosser (University of New England)</w:t>
            </w:r>
          </w:p>
          <w:p w14:paraId="00000008" w14:textId="77777777" w:rsidR="00ED10F2" w:rsidRDefault="00ED10F2">
            <w:pPr>
              <w:ind w:left="2268"/>
              <w:rPr>
                <w:i/>
                <w:sz w:val="28"/>
                <w:szCs w:val="28"/>
              </w:rPr>
            </w:pPr>
          </w:p>
          <w:p w14:paraId="00000009" w14:textId="77777777" w:rsidR="00ED10F2" w:rsidRDefault="0064237A">
            <w:pPr>
              <w:ind w:left="2268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Convener:</w:t>
            </w:r>
            <w:r>
              <w:rPr>
                <w:sz w:val="28"/>
                <w:szCs w:val="28"/>
              </w:rPr>
              <w:t xml:space="preserve"> Dr Shannan </w:t>
            </w:r>
            <w:proofErr w:type="spellStart"/>
            <w:r>
              <w:rPr>
                <w:sz w:val="28"/>
                <w:szCs w:val="28"/>
              </w:rPr>
              <w:t>Maisey</w:t>
            </w:r>
            <w:proofErr w:type="spellEnd"/>
            <w:r>
              <w:rPr>
                <w:sz w:val="28"/>
                <w:szCs w:val="28"/>
              </w:rPr>
              <w:t xml:space="preserve">, University of New South </w:t>
            </w:r>
            <w:r>
              <w:rPr>
                <w:sz w:val="28"/>
                <w:szCs w:val="28"/>
              </w:rPr>
              <w:t>Wales</w:t>
            </w:r>
          </w:p>
          <w:p w14:paraId="0000000A" w14:textId="77777777" w:rsidR="00ED10F2" w:rsidRDefault="00ED10F2">
            <w:pPr>
              <w:rPr>
                <w:sz w:val="32"/>
                <w:szCs w:val="32"/>
              </w:rPr>
            </w:pPr>
          </w:p>
          <w:p w14:paraId="0000000B" w14:textId="77777777" w:rsidR="00ED10F2" w:rsidRDefault="0064237A">
            <w:pPr>
              <w:ind w:left="2268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[</w:t>
            </w:r>
            <w:r>
              <w:t>Click on the name of each Panel member to read more about their personal story]</w:t>
            </w:r>
          </w:p>
          <w:p w14:paraId="0000000C" w14:textId="77777777" w:rsidR="00ED10F2" w:rsidRDefault="00ED10F2">
            <w:pPr>
              <w:ind w:left="357" w:hanging="357"/>
              <w:rPr>
                <w:sz w:val="20"/>
                <w:szCs w:val="20"/>
              </w:rPr>
            </w:pPr>
          </w:p>
        </w:tc>
      </w:tr>
      <w:tr w:rsidR="00ED10F2" w14:paraId="1D605C95" w14:textId="77777777">
        <w:tc>
          <w:tcPr>
            <w:tcW w:w="2102" w:type="dxa"/>
            <w:shd w:val="clear" w:color="auto" w:fill="E7E6E6"/>
          </w:tcPr>
          <w:p w14:paraId="0000000F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11.15</w:t>
            </w:r>
          </w:p>
        </w:tc>
        <w:tc>
          <w:tcPr>
            <w:tcW w:w="18819" w:type="dxa"/>
            <w:gridSpan w:val="3"/>
            <w:shd w:val="clear" w:color="auto" w:fill="E7E6E6"/>
          </w:tcPr>
          <w:p w14:paraId="00000010" w14:textId="77777777" w:rsidR="00ED10F2" w:rsidRDefault="0064237A">
            <w:pPr>
              <w:pStyle w:val="Heading1"/>
              <w:spacing w:before="0"/>
              <w:jc w:val="both"/>
              <w:outlineLv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Coffee break</w:t>
            </w:r>
          </w:p>
        </w:tc>
      </w:tr>
      <w:tr w:rsidR="00ED10F2" w14:paraId="14CC8238" w14:textId="77777777">
        <w:tc>
          <w:tcPr>
            <w:tcW w:w="2102" w:type="dxa"/>
          </w:tcPr>
          <w:p w14:paraId="00000013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11.15-12.30 AEST</w:t>
            </w:r>
          </w:p>
          <w:p w14:paraId="00000014" w14:textId="77777777" w:rsidR="00ED10F2" w:rsidRDefault="00ED10F2">
            <w:pPr>
              <w:ind w:left="357" w:hanging="357"/>
              <w:rPr>
                <w:sz w:val="28"/>
                <w:szCs w:val="28"/>
              </w:rPr>
            </w:pPr>
          </w:p>
          <w:p w14:paraId="00000015" w14:textId="77777777" w:rsidR="00ED10F2" w:rsidRDefault="00ED10F2">
            <w:pPr>
              <w:ind w:left="357" w:hanging="357"/>
              <w:rPr>
                <w:sz w:val="28"/>
                <w:szCs w:val="28"/>
              </w:rPr>
            </w:pPr>
          </w:p>
          <w:p w14:paraId="00000016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(Discussion 12.00 AEST)</w:t>
            </w:r>
          </w:p>
          <w:p w14:paraId="00000017" w14:textId="77777777" w:rsidR="00ED10F2" w:rsidRDefault="00ED10F2">
            <w:p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00000018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Theme: Teaching and assessment</w:t>
            </w:r>
          </w:p>
          <w:p w14:paraId="00000019" w14:textId="77777777" w:rsidR="00ED10F2" w:rsidRDefault="0064237A">
            <w:pPr>
              <w:rPr>
                <w:color w:val="538135"/>
                <w:sz w:val="28"/>
                <w:szCs w:val="28"/>
              </w:rPr>
            </w:pPr>
            <w:r>
              <w:rPr>
                <w:color w:val="538135"/>
                <w:sz w:val="28"/>
                <w:szCs w:val="28"/>
              </w:rPr>
              <w:t>Watch:</w:t>
            </w:r>
          </w:p>
          <w:p w14:paraId="0000001A" w14:textId="77777777" w:rsidR="00ED10F2" w:rsidRDefault="00ED10F2"/>
          <w:p w14:paraId="0000001B" w14:textId="77777777" w:rsidR="00ED10F2" w:rsidRDefault="0064237A">
            <w:pPr>
              <w:ind w:left="357" w:hanging="357"/>
            </w:pPr>
            <w:r>
              <w:rPr>
                <w:b/>
              </w:rPr>
              <w:t>#1:</w:t>
            </w:r>
            <w:r>
              <w:t xml:space="preserve"> </w:t>
            </w:r>
            <w:r>
              <w:rPr>
                <w:b/>
                <w:i/>
              </w:rPr>
              <w:t>When writing the assessment becomes the assessment</w:t>
            </w:r>
          </w:p>
          <w:p w14:paraId="0000001C" w14:textId="77777777" w:rsidR="00ED10F2" w:rsidRDefault="0064237A">
            <w:pPr>
              <w:ind w:left="357" w:hanging="357"/>
            </w:pPr>
            <w:r>
              <w:tab/>
              <w:t xml:space="preserve">Presenters: Shannan </w:t>
            </w:r>
            <w:proofErr w:type="spellStart"/>
            <w:r>
              <w:t>Maisey</w:t>
            </w:r>
            <w:proofErr w:type="spellEnd"/>
            <w:r>
              <w:t xml:space="preserve">, Laura </w:t>
            </w:r>
            <w:proofErr w:type="spellStart"/>
            <w:r>
              <w:t>McKemmish</w:t>
            </w:r>
            <w:proofErr w:type="spellEnd"/>
            <w:r>
              <w:t xml:space="preserve">, </w:t>
            </w:r>
            <w:proofErr w:type="spellStart"/>
            <w:r>
              <w:t>Siobhán</w:t>
            </w:r>
            <w:proofErr w:type="spellEnd"/>
            <w:r>
              <w:t xml:space="preserve"> Wills</w:t>
            </w:r>
          </w:p>
          <w:p w14:paraId="0000001D" w14:textId="77777777" w:rsidR="00ED10F2" w:rsidRDefault="00ED10F2">
            <w:pPr>
              <w:ind w:left="357" w:hanging="357"/>
            </w:pPr>
          </w:p>
          <w:p w14:paraId="0000001E" w14:textId="77777777" w:rsidR="00ED10F2" w:rsidRDefault="0064237A">
            <w:pPr>
              <w:ind w:left="357" w:hanging="357"/>
            </w:pPr>
            <w:r>
              <w:rPr>
                <w:b/>
              </w:rPr>
              <w:t>#2:</w:t>
            </w:r>
            <w:r>
              <w:t xml:space="preserve"> </w:t>
            </w:r>
            <w:r>
              <w:rPr>
                <w:b/>
                <w:i/>
              </w:rPr>
              <w:t>Are online examinations a viable alternative to paper-based examinations for demonstrating competency in human physiology?</w:t>
            </w:r>
          </w:p>
          <w:p w14:paraId="0000001F" w14:textId="77777777" w:rsidR="00ED10F2" w:rsidRDefault="0064237A">
            <w:pPr>
              <w:ind w:left="357" w:hanging="357"/>
            </w:pPr>
            <w:r>
              <w:tab/>
              <w:t xml:space="preserve">Presenters: Karen Mate, Jude </w:t>
            </w:r>
            <w:proofErr w:type="spellStart"/>
            <w:r>
              <w:t>Weidenhofer</w:t>
            </w:r>
            <w:proofErr w:type="spellEnd"/>
          </w:p>
          <w:p w14:paraId="00000020" w14:textId="77777777" w:rsidR="00ED10F2" w:rsidRDefault="00ED10F2">
            <w:pPr>
              <w:ind w:left="357" w:hanging="357"/>
            </w:pPr>
          </w:p>
          <w:p w14:paraId="00000021" w14:textId="77777777" w:rsidR="00ED10F2" w:rsidRDefault="0064237A">
            <w:pPr>
              <w:ind w:left="357" w:hanging="357"/>
            </w:pPr>
            <w:r>
              <w:rPr>
                <w:b/>
              </w:rPr>
              <w:t>#3:</w:t>
            </w:r>
            <w:r>
              <w:t xml:space="preserve"> </w:t>
            </w:r>
            <w:r>
              <w:rPr>
                <w:b/>
                <w:i/>
              </w:rPr>
              <w:t>Perspectives on moving towards online learning due to the disruptions of COVID-19</w:t>
            </w:r>
          </w:p>
          <w:p w14:paraId="00000022" w14:textId="77777777" w:rsidR="00ED10F2" w:rsidRDefault="0064237A">
            <w:pPr>
              <w:ind w:left="357" w:hanging="357"/>
            </w:pPr>
            <w:r>
              <w:tab/>
              <w:t>Pre</w:t>
            </w:r>
            <w:r>
              <w:t xml:space="preserve">senters: Yuchen Qian, Alexandra Yeung, Dino </w:t>
            </w:r>
            <w:proofErr w:type="spellStart"/>
            <w:r>
              <w:t>Spagnoli</w:t>
            </w:r>
            <w:proofErr w:type="spellEnd"/>
          </w:p>
          <w:p w14:paraId="00000023" w14:textId="77777777" w:rsidR="00ED10F2" w:rsidRDefault="00ED10F2">
            <w:pPr>
              <w:ind w:left="357" w:hanging="357"/>
            </w:pPr>
          </w:p>
          <w:p w14:paraId="00000024" w14:textId="77777777" w:rsidR="00ED10F2" w:rsidRDefault="00ED10F2">
            <w:pPr>
              <w:ind w:left="357" w:hanging="357"/>
            </w:pPr>
          </w:p>
          <w:p w14:paraId="00000025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 Discussion at 12.00</w:t>
            </w:r>
          </w:p>
          <w:p w14:paraId="00000026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Moderator: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8"/>
                <w:szCs w:val="28"/>
              </w:rPr>
              <w:t>TBA</w:t>
            </w:r>
          </w:p>
          <w:p w14:paraId="00000027" w14:textId="77777777" w:rsidR="00ED10F2" w:rsidRDefault="00ED10F2"/>
          <w:p w14:paraId="00000028" w14:textId="77777777" w:rsidR="00ED10F2" w:rsidRDefault="00ED10F2">
            <w:pPr>
              <w:pStyle w:val="Heading2"/>
              <w:outlineLvl w:val="1"/>
              <w:rPr>
                <w:rFonts w:ascii="Calibri" w:eastAsia="Calibri" w:hAnsi="Calibri" w:cs="Calibri"/>
              </w:rPr>
            </w:pPr>
          </w:p>
        </w:tc>
        <w:tc>
          <w:tcPr>
            <w:tcW w:w="6251" w:type="dxa"/>
          </w:tcPr>
          <w:p w14:paraId="00000029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Theme: Teaching approaches 3</w:t>
            </w:r>
          </w:p>
          <w:p w14:paraId="0000002A" w14:textId="77777777" w:rsidR="00ED10F2" w:rsidRDefault="0064237A">
            <w:pPr>
              <w:rPr>
                <w:color w:val="538135"/>
                <w:sz w:val="28"/>
                <w:szCs w:val="28"/>
              </w:rPr>
            </w:pPr>
            <w:r>
              <w:rPr>
                <w:color w:val="538135"/>
                <w:sz w:val="28"/>
                <w:szCs w:val="28"/>
              </w:rPr>
              <w:t>Watch:</w:t>
            </w:r>
          </w:p>
          <w:p w14:paraId="0000002B" w14:textId="77777777" w:rsidR="00ED10F2" w:rsidRDefault="00ED10F2"/>
          <w:p w14:paraId="0000002C" w14:textId="77777777" w:rsidR="00ED10F2" w:rsidRDefault="0064237A">
            <w:pPr>
              <w:ind w:left="357" w:hanging="357"/>
            </w:pPr>
            <w:r>
              <w:rPr>
                <w:b/>
              </w:rPr>
              <w:t>#1:</w:t>
            </w:r>
            <w:r>
              <w:t xml:space="preserve"> </w:t>
            </w:r>
            <w:r>
              <w:rPr>
                <w:b/>
                <w:i/>
              </w:rPr>
              <w:t>Understanding and scaffolding student knowledge of dispersion forces through multiple representations</w:t>
            </w:r>
          </w:p>
          <w:p w14:paraId="0000002D" w14:textId="77777777" w:rsidR="00ED10F2" w:rsidRDefault="0064237A">
            <w:pPr>
              <w:ind w:left="357" w:hanging="357"/>
            </w:pPr>
            <w:r>
              <w:tab/>
              <w:t>Presenters: Lau</w:t>
            </w:r>
            <w:r>
              <w:t xml:space="preserve">ren Baade, </w:t>
            </w:r>
            <w:proofErr w:type="spellStart"/>
            <w:r>
              <w:t>Efpraxia</w:t>
            </w:r>
            <w:proofErr w:type="spellEnd"/>
            <w:r>
              <w:t xml:space="preserve"> </w:t>
            </w:r>
            <w:proofErr w:type="spellStart"/>
            <w:r>
              <w:t>Kartsonaki</w:t>
            </w:r>
            <w:proofErr w:type="spellEnd"/>
            <w:r>
              <w:t>, Gwendolyn A. Lawrie</w:t>
            </w:r>
          </w:p>
          <w:p w14:paraId="0000002E" w14:textId="77777777" w:rsidR="00ED10F2" w:rsidRDefault="00ED10F2">
            <w:pPr>
              <w:ind w:left="357" w:hanging="357"/>
            </w:pPr>
          </w:p>
          <w:p w14:paraId="0000002F" w14:textId="77777777" w:rsidR="00ED10F2" w:rsidRDefault="0064237A">
            <w:pPr>
              <w:ind w:left="357" w:hanging="357"/>
            </w:pPr>
            <w:r>
              <w:rPr>
                <w:b/>
              </w:rPr>
              <w:t>#2:</w:t>
            </w:r>
            <w:r>
              <w:t xml:space="preserve"> </w:t>
            </w:r>
            <w:r>
              <w:rPr>
                <w:b/>
                <w:i/>
              </w:rPr>
              <w:t>Video-based course instructions as a tool to improve engagement in an online teacher professional development programme</w:t>
            </w:r>
          </w:p>
          <w:p w14:paraId="00000030" w14:textId="77777777" w:rsidR="00ED10F2" w:rsidRDefault="0064237A">
            <w:pPr>
              <w:ind w:left="357" w:hanging="357"/>
            </w:pPr>
            <w:r>
              <w:tab/>
              <w:t>Presenter: Angela E. Stott</w:t>
            </w:r>
          </w:p>
          <w:p w14:paraId="00000031" w14:textId="77777777" w:rsidR="00ED10F2" w:rsidRDefault="00ED10F2">
            <w:pPr>
              <w:ind w:left="357" w:hanging="357"/>
            </w:pPr>
          </w:p>
          <w:p w14:paraId="00000032" w14:textId="77777777" w:rsidR="00ED10F2" w:rsidRDefault="0064237A">
            <w:pPr>
              <w:ind w:left="357" w:hanging="357"/>
            </w:pPr>
            <w:r>
              <w:rPr>
                <w:b/>
              </w:rPr>
              <w:t>#3:</w:t>
            </w:r>
            <w:r>
              <w:t xml:space="preserve"> </w:t>
            </w:r>
            <w:r>
              <w:rPr>
                <w:b/>
                <w:i/>
              </w:rPr>
              <w:t>Interdisciplinary projects in science-based degree programs: Student satisfaction outcomes with differe</w:t>
            </w:r>
            <w:r>
              <w:rPr>
                <w:b/>
                <w:i/>
              </w:rPr>
              <w:t>nt project delivery models</w:t>
            </w:r>
          </w:p>
          <w:p w14:paraId="00000033" w14:textId="77777777" w:rsidR="00ED10F2" w:rsidRDefault="0064237A">
            <w:pPr>
              <w:ind w:left="357" w:hanging="357"/>
            </w:pPr>
            <w:r>
              <w:tab/>
              <w:t>Presenters: Joanne Hart, Elisa Bone </w:t>
            </w:r>
          </w:p>
          <w:p w14:paraId="00000034" w14:textId="77777777" w:rsidR="00ED10F2" w:rsidRDefault="00ED10F2">
            <w:pPr>
              <w:ind w:left="357" w:hanging="357"/>
            </w:pPr>
          </w:p>
          <w:p w14:paraId="00000035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 Discussion at 12.00</w:t>
            </w:r>
          </w:p>
          <w:p w14:paraId="00000036" w14:textId="77777777" w:rsidR="00ED10F2" w:rsidRDefault="00ED10F2">
            <w:pPr>
              <w:ind w:left="357" w:hanging="357"/>
              <w:rPr>
                <w:sz w:val="28"/>
                <w:szCs w:val="28"/>
              </w:rPr>
            </w:pPr>
          </w:p>
          <w:p w14:paraId="00000037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Moderator: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8"/>
                <w:szCs w:val="28"/>
              </w:rPr>
              <w:t>Joanne Hart</w:t>
            </w:r>
          </w:p>
          <w:p w14:paraId="00000038" w14:textId="77777777" w:rsidR="00ED10F2" w:rsidRDefault="00ED10F2">
            <w:pPr>
              <w:ind w:left="357" w:hanging="357"/>
              <w:rPr>
                <w:color w:val="2F5496"/>
              </w:rPr>
            </w:pPr>
          </w:p>
        </w:tc>
        <w:tc>
          <w:tcPr>
            <w:tcW w:w="6707" w:type="dxa"/>
          </w:tcPr>
          <w:p w14:paraId="00000039" w14:textId="77777777" w:rsidR="00ED10F2" w:rsidRDefault="0064237A">
            <w:pPr>
              <w:pStyle w:val="Heading2"/>
              <w:outlineLvl w:val="1"/>
              <w:rPr>
                <w:b/>
                <w:color w:val="538135"/>
                <w:sz w:val="32"/>
                <w:szCs w:val="32"/>
              </w:rPr>
            </w:pPr>
            <w:bookmarkStart w:id="0" w:name="_heading=h.9oxulrg5zcmk" w:colFirst="0" w:colLast="0"/>
            <w:bookmarkEnd w:id="0"/>
            <w:r>
              <w:rPr>
                <w:b/>
                <w:color w:val="538135"/>
                <w:sz w:val="32"/>
                <w:szCs w:val="32"/>
              </w:rPr>
              <w:t>Theme: Mathematics and statistics</w:t>
            </w:r>
          </w:p>
          <w:p w14:paraId="0000003A" w14:textId="77777777" w:rsidR="00ED10F2" w:rsidRDefault="0064237A">
            <w:pPr>
              <w:rPr>
                <w:color w:val="538135"/>
                <w:sz w:val="28"/>
                <w:szCs w:val="28"/>
              </w:rPr>
            </w:pPr>
            <w:r>
              <w:rPr>
                <w:color w:val="538135"/>
                <w:sz w:val="28"/>
                <w:szCs w:val="28"/>
              </w:rPr>
              <w:t>Watch:</w:t>
            </w:r>
          </w:p>
          <w:p w14:paraId="0000003B" w14:textId="77777777" w:rsidR="00ED10F2" w:rsidRDefault="00ED10F2"/>
          <w:p w14:paraId="0000003C" w14:textId="77777777" w:rsidR="00ED10F2" w:rsidRDefault="0064237A">
            <w:pPr>
              <w:ind w:left="357"/>
            </w:pPr>
            <w:r>
              <w:rPr>
                <w:b/>
              </w:rPr>
              <w:t>#1:</w:t>
            </w:r>
            <w:r>
              <w:t xml:space="preserve"> </w:t>
            </w:r>
            <w:r>
              <w:rPr>
                <w:b/>
                <w:i/>
              </w:rPr>
              <w:t>Effect of Mindfulness Web-based intervention during COVID-19 crisis</w:t>
            </w:r>
          </w:p>
          <w:p w14:paraId="0000003D" w14:textId="77777777" w:rsidR="00ED10F2" w:rsidRDefault="0064237A">
            <w:pPr>
              <w:ind w:left="357"/>
            </w:pPr>
            <w:r>
              <w:tab/>
              <w:t xml:space="preserve">Presenters: Mitra </w:t>
            </w:r>
            <w:proofErr w:type="spellStart"/>
            <w:r>
              <w:t>Jazayeri</w:t>
            </w:r>
            <w:proofErr w:type="spellEnd"/>
            <w:r>
              <w:t>, Xia Li, Eric Morris, Dan Laurence, Birgit Loch</w:t>
            </w:r>
          </w:p>
          <w:p w14:paraId="0000003E" w14:textId="77777777" w:rsidR="00ED10F2" w:rsidRDefault="00ED10F2">
            <w:pPr>
              <w:ind w:left="357"/>
            </w:pPr>
          </w:p>
          <w:p w14:paraId="0000003F" w14:textId="77777777" w:rsidR="00ED10F2" w:rsidRDefault="0064237A">
            <w:pPr>
              <w:ind w:left="357"/>
            </w:pPr>
            <w:r>
              <w:rPr>
                <w:b/>
              </w:rPr>
              <w:t>#2:</w:t>
            </w:r>
            <w:r>
              <w:t xml:space="preserve"> </w:t>
            </w:r>
            <w:r>
              <w:rPr>
                <w:b/>
                <w:i/>
              </w:rPr>
              <w:t>Nuancing the differences between multi-discipline maths and stats support in a changing environment for stu</w:t>
            </w:r>
            <w:r>
              <w:rPr>
                <w:b/>
                <w:i/>
              </w:rPr>
              <w:t>dent success</w:t>
            </w:r>
          </w:p>
          <w:p w14:paraId="00000040" w14:textId="77777777" w:rsidR="00ED10F2" w:rsidRDefault="0064237A">
            <w:pPr>
              <w:ind w:left="357"/>
            </w:pPr>
            <w:r>
              <w:tab/>
              <w:t>Presenter: Deborah Jackson </w:t>
            </w:r>
          </w:p>
          <w:p w14:paraId="00000041" w14:textId="77777777" w:rsidR="00ED10F2" w:rsidRDefault="00ED10F2">
            <w:pPr>
              <w:ind w:left="357"/>
            </w:pPr>
          </w:p>
          <w:p w14:paraId="00000042" w14:textId="77777777" w:rsidR="00ED10F2" w:rsidRDefault="0064237A">
            <w:pPr>
              <w:ind w:left="357"/>
            </w:pPr>
            <w:r>
              <w:rPr>
                <w:b/>
              </w:rPr>
              <w:t>#3:</w:t>
            </w:r>
            <w:r>
              <w:t xml:space="preserve"> </w:t>
            </w:r>
            <w:r>
              <w:rPr>
                <w:b/>
                <w:i/>
              </w:rPr>
              <w:t>An online mathematics and statistics refresher program for the COVID-19 era and beyond</w:t>
            </w:r>
          </w:p>
          <w:p w14:paraId="00000043" w14:textId="77777777" w:rsidR="00ED10F2" w:rsidRDefault="0064237A">
            <w:pPr>
              <w:ind w:left="357"/>
            </w:pPr>
            <w:r>
              <w:tab/>
              <w:t xml:space="preserve">Presenters: Jim Pettigrew, Leanne Rylands, Lyn Armstrong, Don Shearman, Adelle Colbourn, </w:t>
            </w:r>
            <w:proofErr w:type="spellStart"/>
            <w:r>
              <w:t>Gizem</w:t>
            </w:r>
            <w:proofErr w:type="spellEnd"/>
            <w:r>
              <w:t xml:space="preserve"> </w:t>
            </w:r>
            <w:proofErr w:type="spellStart"/>
            <w:r>
              <w:t>Intepe</w:t>
            </w:r>
            <w:proofErr w:type="spellEnd"/>
            <w:r>
              <w:t>, Susan McGlynn</w:t>
            </w:r>
          </w:p>
          <w:p w14:paraId="00000044" w14:textId="77777777" w:rsidR="00ED10F2" w:rsidRDefault="00ED10F2">
            <w:pPr>
              <w:ind w:left="357"/>
            </w:pPr>
          </w:p>
          <w:p w14:paraId="00000045" w14:textId="77777777" w:rsidR="00ED10F2" w:rsidRDefault="00ED10F2">
            <w:pPr>
              <w:ind w:left="357"/>
            </w:pPr>
          </w:p>
          <w:p w14:paraId="00000046" w14:textId="77777777" w:rsidR="00ED10F2" w:rsidRDefault="0064237A">
            <w:pPr>
              <w:ind w:lef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</w:t>
            </w:r>
            <w:r>
              <w:rPr>
                <w:sz w:val="28"/>
                <w:szCs w:val="28"/>
              </w:rPr>
              <w:t>in Discussion at 12.00</w:t>
            </w:r>
          </w:p>
          <w:p w14:paraId="00000047" w14:textId="77777777" w:rsidR="00ED10F2" w:rsidRDefault="0064237A">
            <w:pPr>
              <w:pStyle w:val="Heading2"/>
              <w:outlineLvl w:val="1"/>
              <w:rPr>
                <w:sz w:val="20"/>
                <w:szCs w:val="20"/>
              </w:rPr>
            </w:pPr>
            <w:bookmarkStart w:id="1" w:name="_heading=h.6r8tk3bf4pju" w:colFirst="0" w:colLast="0"/>
            <w:bookmarkEnd w:id="1"/>
            <w:r>
              <w:rPr>
                <w:sz w:val="28"/>
                <w:szCs w:val="28"/>
              </w:rPr>
              <w:t>Moderator:</w:t>
            </w:r>
            <w:r>
              <w:rPr>
                <w:sz w:val="22"/>
                <w:szCs w:val="22"/>
              </w:rPr>
              <w:tab/>
            </w:r>
            <w:r>
              <w:rPr>
                <w:sz w:val="28"/>
                <w:szCs w:val="28"/>
              </w:rPr>
              <w:t>Deborah Jackson</w:t>
            </w:r>
          </w:p>
        </w:tc>
      </w:tr>
      <w:tr w:rsidR="00ED10F2" w14:paraId="04AC59C4" w14:textId="77777777">
        <w:tc>
          <w:tcPr>
            <w:tcW w:w="2102" w:type="dxa"/>
            <w:shd w:val="clear" w:color="auto" w:fill="E7E6E6"/>
          </w:tcPr>
          <w:p w14:paraId="00000048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12.30-1.30 AEST</w:t>
            </w:r>
          </w:p>
        </w:tc>
        <w:tc>
          <w:tcPr>
            <w:tcW w:w="18819" w:type="dxa"/>
            <w:gridSpan w:val="3"/>
            <w:shd w:val="clear" w:color="auto" w:fill="E7E6E6"/>
          </w:tcPr>
          <w:p w14:paraId="00000049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36"/>
                <w:szCs w:val="36"/>
              </w:rPr>
              <w:t>Lunch break</w:t>
            </w:r>
          </w:p>
        </w:tc>
      </w:tr>
      <w:tr w:rsidR="00ED10F2" w14:paraId="62FC6940" w14:textId="77777777">
        <w:tc>
          <w:tcPr>
            <w:tcW w:w="2102" w:type="dxa"/>
            <w:shd w:val="clear" w:color="auto" w:fill="C5E0B3"/>
          </w:tcPr>
          <w:p w14:paraId="0000004C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1.30-2.30 AEST</w:t>
            </w:r>
          </w:p>
        </w:tc>
        <w:tc>
          <w:tcPr>
            <w:tcW w:w="18819" w:type="dxa"/>
            <w:gridSpan w:val="3"/>
            <w:shd w:val="clear" w:color="auto" w:fill="C5E0B3"/>
          </w:tcPr>
          <w:p w14:paraId="0000004D" w14:textId="77777777" w:rsidR="00ED10F2" w:rsidRDefault="0064237A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/>
                <w:i/>
                <w:color w:val="2F5496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Keynote: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i/>
                <w:color w:val="2F5496"/>
                <w:sz w:val="36"/>
                <w:szCs w:val="36"/>
              </w:rPr>
              <w:t xml:space="preserve">Navigating video-based learning in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2F5496"/>
                <w:sz w:val="36"/>
                <w:szCs w:val="36"/>
              </w:rPr>
              <w:t>Science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2F5496"/>
                <w:sz w:val="36"/>
                <w:szCs w:val="36"/>
              </w:rPr>
              <w:t xml:space="preserve"> – how do we close the gap between online and physical</w:t>
            </w:r>
          </w:p>
          <w:p w14:paraId="0000004E" w14:textId="77777777" w:rsidR="00ED10F2" w:rsidRDefault="0064237A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color w:val="2F5496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2F5496"/>
                <w:sz w:val="36"/>
                <w:szCs w:val="36"/>
              </w:rPr>
              <w:tab/>
            </w:r>
            <w:r>
              <w:rPr>
                <w:rFonts w:ascii="Calibri" w:eastAsia="Calibri" w:hAnsi="Calibri" w:cs="Calibri"/>
                <w:b/>
                <w:i/>
                <w:color w:val="2F5496"/>
                <w:sz w:val="36"/>
                <w:szCs w:val="36"/>
              </w:rPr>
              <w:tab/>
            </w:r>
            <w:r>
              <w:rPr>
                <w:rFonts w:ascii="Calibri" w:eastAsia="Calibri" w:hAnsi="Calibri" w:cs="Calibri"/>
                <w:b/>
                <w:i/>
                <w:color w:val="2F5496"/>
                <w:sz w:val="36"/>
                <w:szCs w:val="36"/>
              </w:rPr>
              <w:tab/>
              <w:t>classrooms?</w:t>
            </w:r>
          </w:p>
          <w:p w14:paraId="0000004F" w14:textId="77777777" w:rsidR="00ED10F2" w:rsidRDefault="006423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>Associate Professor Jack Wang (The University of Queensland)</w:t>
            </w:r>
          </w:p>
          <w:p w14:paraId="00000050" w14:textId="77777777" w:rsidR="00ED10F2" w:rsidRDefault="00ED10F2">
            <w:pPr>
              <w:ind w:left="2268"/>
              <w:rPr>
                <w:i/>
                <w:sz w:val="32"/>
                <w:szCs w:val="32"/>
              </w:rPr>
            </w:pPr>
          </w:p>
          <w:p w14:paraId="00000051" w14:textId="77777777" w:rsidR="00ED10F2" w:rsidRDefault="0064237A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ab/>
            </w:r>
            <w:r>
              <w:rPr>
                <w:i/>
                <w:sz w:val="32"/>
                <w:szCs w:val="32"/>
              </w:rPr>
              <w:tab/>
            </w:r>
            <w:r>
              <w:rPr>
                <w:i/>
                <w:sz w:val="32"/>
                <w:szCs w:val="32"/>
              </w:rPr>
              <w:tab/>
              <w:t xml:space="preserve">Convener: </w:t>
            </w:r>
            <w:r>
              <w:rPr>
                <w:sz w:val="32"/>
                <w:szCs w:val="32"/>
              </w:rPr>
              <w:t xml:space="preserve"> Associate Professor Elizabeth </w:t>
            </w:r>
            <w:proofErr w:type="spellStart"/>
            <w:r>
              <w:rPr>
                <w:sz w:val="32"/>
                <w:szCs w:val="32"/>
              </w:rPr>
              <w:t>Angstmann</w:t>
            </w:r>
            <w:proofErr w:type="spellEnd"/>
            <w:r>
              <w:rPr>
                <w:sz w:val="32"/>
                <w:szCs w:val="32"/>
              </w:rPr>
              <w:t xml:space="preserve"> (The University of New South Wales)</w:t>
            </w:r>
          </w:p>
        </w:tc>
      </w:tr>
      <w:tr w:rsidR="00ED10F2" w14:paraId="085EAD2C" w14:textId="77777777">
        <w:tc>
          <w:tcPr>
            <w:tcW w:w="2102" w:type="dxa"/>
          </w:tcPr>
          <w:p w14:paraId="00000054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2.30-3.45 AEST</w:t>
            </w:r>
          </w:p>
          <w:p w14:paraId="00000055" w14:textId="77777777" w:rsidR="00ED10F2" w:rsidRDefault="00ED10F2">
            <w:pPr>
              <w:ind w:left="357" w:hanging="357"/>
              <w:rPr>
                <w:sz w:val="28"/>
                <w:szCs w:val="28"/>
              </w:rPr>
            </w:pPr>
          </w:p>
          <w:p w14:paraId="00000056" w14:textId="77777777" w:rsidR="00ED10F2" w:rsidRDefault="00ED10F2">
            <w:pPr>
              <w:ind w:left="357" w:hanging="357"/>
              <w:rPr>
                <w:sz w:val="28"/>
                <w:szCs w:val="28"/>
              </w:rPr>
            </w:pPr>
          </w:p>
          <w:p w14:paraId="00000057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(Discussion 3.15 AEST)</w:t>
            </w:r>
            <w:r>
              <w:rPr>
                <w:sz w:val="28"/>
                <w:szCs w:val="28"/>
              </w:rPr>
              <w:tab/>
            </w:r>
          </w:p>
          <w:p w14:paraId="00000058" w14:textId="77777777" w:rsidR="00ED10F2" w:rsidRDefault="00ED10F2">
            <w:p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00000059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Theme: Practicals</w:t>
            </w:r>
          </w:p>
          <w:p w14:paraId="0000005A" w14:textId="77777777" w:rsidR="00ED10F2" w:rsidRDefault="0064237A">
            <w:pPr>
              <w:rPr>
                <w:color w:val="538135"/>
                <w:sz w:val="28"/>
                <w:szCs w:val="28"/>
              </w:rPr>
            </w:pPr>
            <w:r>
              <w:rPr>
                <w:color w:val="538135"/>
                <w:sz w:val="28"/>
                <w:szCs w:val="28"/>
              </w:rPr>
              <w:t>Watch:</w:t>
            </w:r>
          </w:p>
          <w:p w14:paraId="0000005B" w14:textId="77777777" w:rsidR="00ED10F2" w:rsidRDefault="00ED10F2"/>
          <w:p w14:paraId="0000005C" w14:textId="77777777" w:rsidR="00ED10F2" w:rsidRDefault="0064237A">
            <w:pPr>
              <w:ind w:left="357" w:hanging="357"/>
            </w:pPr>
            <w:r>
              <w:rPr>
                <w:b/>
              </w:rPr>
              <w:t>#1:</w:t>
            </w:r>
            <w:r>
              <w:t xml:space="preserve"> </w:t>
            </w:r>
            <w:r>
              <w:rPr>
                <w:b/>
                <w:i/>
              </w:rPr>
              <w:t>Blended delivery of undergraduate chemistry laboratories due to COVID-19</w:t>
            </w:r>
          </w:p>
          <w:p w14:paraId="0000005D" w14:textId="77777777" w:rsidR="00ED10F2" w:rsidRDefault="0064237A">
            <w:pPr>
              <w:ind w:left="357" w:hanging="357"/>
            </w:pPr>
            <w:r>
              <w:tab/>
              <w:t xml:space="preserve">Presenter: Georgina </w:t>
            </w:r>
            <w:proofErr w:type="spellStart"/>
            <w:r>
              <w:t>Sauzier</w:t>
            </w:r>
            <w:proofErr w:type="spellEnd"/>
          </w:p>
          <w:p w14:paraId="0000005E" w14:textId="77777777" w:rsidR="00ED10F2" w:rsidRDefault="00ED10F2">
            <w:pPr>
              <w:ind w:left="357" w:hanging="357"/>
            </w:pPr>
          </w:p>
          <w:p w14:paraId="0000005F" w14:textId="77777777" w:rsidR="00ED10F2" w:rsidRDefault="0064237A">
            <w:pPr>
              <w:ind w:left="357" w:hanging="357"/>
            </w:pPr>
            <w:r>
              <w:rPr>
                <w:b/>
              </w:rPr>
              <w:t>#2:</w:t>
            </w:r>
            <w:r>
              <w:t xml:space="preserve"> </w:t>
            </w:r>
            <w:r>
              <w:rPr>
                <w:b/>
                <w:i/>
              </w:rPr>
              <w:t>A blended new world: Science skills support and community development in a pandemic</w:t>
            </w:r>
          </w:p>
          <w:p w14:paraId="00000060" w14:textId="77777777" w:rsidR="00ED10F2" w:rsidRDefault="0064237A">
            <w:pPr>
              <w:ind w:left="357" w:hanging="357"/>
            </w:pPr>
            <w:r>
              <w:tab/>
              <w:t xml:space="preserve">Presenters: Joshua Wang, Dana </w:t>
            </w:r>
            <w:proofErr w:type="spellStart"/>
            <w:r>
              <w:t>Burfeind</w:t>
            </w:r>
            <w:proofErr w:type="spellEnd"/>
            <w:r>
              <w:t>, Christine Devine </w:t>
            </w:r>
          </w:p>
          <w:p w14:paraId="00000061" w14:textId="77777777" w:rsidR="00ED10F2" w:rsidRDefault="00ED10F2">
            <w:pPr>
              <w:ind w:left="357" w:hanging="357"/>
            </w:pPr>
          </w:p>
          <w:p w14:paraId="00000062" w14:textId="77777777" w:rsidR="00ED10F2" w:rsidRDefault="0064237A">
            <w:pPr>
              <w:ind w:left="357" w:hanging="357"/>
            </w:pPr>
            <w:r>
              <w:rPr>
                <w:b/>
              </w:rPr>
              <w:t>#3:</w:t>
            </w:r>
            <w:r>
              <w:t xml:space="preserve"> </w:t>
            </w:r>
            <w:r>
              <w:rPr>
                <w:b/>
                <w:i/>
              </w:rPr>
              <w:t>Chemistry laboratory instructional models, how do you choose?</w:t>
            </w:r>
          </w:p>
          <w:p w14:paraId="00000063" w14:textId="77777777" w:rsidR="00ED10F2" w:rsidRDefault="0064237A">
            <w:pPr>
              <w:ind w:left="357" w:hanging="357"/>
            </w:pPr>
            <w:r>
              <w:tab/>
              <w:t>Presenters: Sabrina Barakat, Stephen George-W</w:t>
            </w:r>
            <w:r>
              <w:t xml:space="preserve">illiams, </w:t>
            </w:r>
            <w:proofErr w:type="spellStart"/>
            <w:r>
              <w:t>MaryKay</w:t>
            </w:r>
            <w:proofErr w:type="spellEnd"/>
            <w:r>
              <w:t xml:space="preserve"> Orgill, Reyne Pullen</w:t>
            </w:r>
          </w:p>
          <w:p w14:paraId="00000064" w14:textId="77777777" w:rsidR="00ED10F2" w:rsidRDefault="00ED10F2">
            <w:pPr>
              <w:ind w:left="357" w:hanging="357"/>
            </w:pPr>
          </w:p>
          <w:p w14:paraId="00000065" w14:textId="77777777" w:rsidR="00ED10F2" w:rsidRDefault="00ED10F2">
            <w:pPr>
              <w:ind w:left="357" w:hanging="357"/>
            </w:pPr>
          </w:p>
          <w:p w14:paraId="00000066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 Discussion at 3.15 pm</w:t>
            </w:r>
          </w:p>
          <w:p w14:paraId="00000067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Moderator: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8"/>
                <w:szCs w:val="28"/>
              </w:rPr>
              <w:t>Christine Devine</w:t>
            </w:r>
          </w:p>
          <w:p w14:paraId="00000068" w14:textId="77777777" w:rsidR="00ED10F2" w:rsidRDefault="00ED10F2">
            <w:pPr>
              <w:ind w:left="357" w:hanging="357"/>
            </w:pPr>
          </w:p>
        </w:tc>
        <w:tc>
          <w:tcPr>
            <w:tcW w:w="6251" w:type="dxa"/>
          </w:tcPr>
          <w:p w14:paraId="00000069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Theme: Virtual teaching</w:t>
            </w:r>
          </w:p>
          <w:p w14:paraId="0000006A" w14:textId="77777777" w:rsidR="00ED10F2" w:rsidRDefault="0064237A">
            <w:pPr>
              <w:rPr>
                <w:color w:val="538135"/>
                <w:sz w:val="28"/>
                <w:szCs w:val="28"/>
              </w:rPr>
            </w:pPr>
            <w:r>
              <w:rPr>
                <w:color w:val="538135"/>
                <w:sz w:val="28"/>
                <w:szCs w:val="28"/>
              </w:rPr>
              <w:t>Watch:</w:t>
            </w:r>
          </w:p>
          <w:p w14:paraId="0000006B" w14:textId="77777777" w:rsidR="00ED10F2" w:rsidRDefault="00ED10F2"/>
          <w:p w14:paraId="0000006C" w14:textId="77777777" w:rsidR="00ED10F2" w:rsidRDefault="0064237A">
            <w:pPr>
              <w:ind w:left="357" w:hanging="357"/>
            </w:pPr>
            <w:r>
              <w:rPr>
                <w:b/>
              </w:rPr>
              <w:t>#1:</w:t>
            </w:r>
            <w:r>
              <w:t xml:space="preserve"> </w:t>
            </w:r>
            <w:r>
              <w:rPr>
                <w:b/>
                <w:i/>
              </w:rPr>
              <w:t>Scalable and effective use of virtual reality for Physics Education</w:t>
            </w:r>
          </w:p>
          <w:p w14:paraId="0000006D" w14:textId="77777777" w:rsidR="00ED10F2" w:rsidRDefault="0064237A">
            <w:pPr>
              <w:ind w:left="357" w:hanging="357"/>
            </w:pPr>
            <w:r>
              <w:tab/>
              <w:t>Presenter: John E. Debs</w:t>
            </w:r>
          </w:p>
          <w:p w14:paraId="0000006E" w14:textId="77777777" w:rsidR="00ED10F2" w:rsidRDefault="00ED10F2">
            <w:pPr>
              <w:ind w:left="357" w:hanging="357"/>
            </w:pPr>
          </w:p>
          <w:p w14:paraId="0000006F" w14:textId="77777777" w:rsidR="00ED10F2" w:rsidRDefault="0064237A">
            <w:pPr>
              <w:ind w:left="357" w:hanging="357"/>
            </w:pPr>
            <w:r>
              <w:rPr>
                <w:b/>
              </w:rPr>
              <w:t>#2:</w:t>
            </w:r>
            <w:r>
              <w:t xml:space="preserve"> </w:t>
            </w:r>
            <w:r>
              <w:rPr>
                <w:b/>
                <w:i/>
              </w:rPr>
              <w:t>Capturing the essence of a</w:t>
            </w:r>
            <w:r>
              <w:rPr>
                <w:b/>
                <w:i/>
              </w:rPr>
              <w:t>n environmental fieldtrip experience using an online setting</w:t>
            </w:r>
          </w:p>
          <w:p w14:paraId="00000070" w14:textId="77777777" w:rsidR="00ED10F2" w:rsidRDefault="0064237A">
            <w:pPr>
              <w:ind w:left="357" w:hanging="357"/>
            </w:pPr>
            <w:r>
              <w:tab/>
              <w:t xml:space="preserve">Presenters: Simone </w:t>
            </w:r>
            <w:proofErr w:type="spellStart"/>
            <w:r>
              <w:t>Louwhoff</w:t>
            </w:r>
            <w:proofErr w:type="spellEnd"/>
            <w:r>
              <w:t xml:space="preserve">, </w:t>
            </w:r>
            <w:proofErr w:type="spellStart"/>
            <w:r>
              <w:t>Singarayer</w:t>
            </w:r>
            <w:proofErr w:type="spellEnd"/>
            <w:r>
              <w:t xml:space="preserve"> Florentine, Kushan Tennakoon</w:t>
            </w:r>
          </w:p>
          <w:p w14:paraId="00000071" w14:textId="77777777" w:rsidR="00ED10F2" w:rsidRDefault="00ED10F2">
            <w:pPr>
              <w:ind w:left="357" w:hanging="357"/>
            </w:pPr>
          </w:p>
          <w:p w14:paraId="00000072" w14:textId="77777777" w:rsidR="00ED10F2" w:rsidRDefault="0064237A">
            <w:pPr>
              <w:ind w:left="357" w:hanging="357"/>
            </w:pPr>
            <w:r>
              <w:rPr>
                <w:b/>
              </w:rPr>
              <w:t>#3:</w:t>
            </w:r>
            <w:r>
              <w:t xml:space="preserve"> </w:t>
            </w:r>
            <w:r>
              <w:rPr>
                <w:b/>
                <w:i/>
              </w:rPr>
              <w:t>Walking into a protein molecule together: University students’ exploration of an enzyme-substrate interaction in immersive virtual reality</w:t>
            </w:r>
          </w:p>
          <w:p w14:paraId="00000073" w14:textId="77777777" w:rsidR="00ED10F2" w:rsidRDefault="0064237A">
            <w:pPr>
              <w:ind w:left="357" w:hanging="357"/>
            </w:pPr>
            <w:r>
              <w:tab/>
              <w:t xml:space="preserve">Presenters: Henry Matovu, </w:t>
            </w:r>
            <w:proofErr w:type="spellStart"/>
            <w:r>
              <w:t>Dewi</w:t>
            </w:r>
            <w:proofErr w:type="spellEnd"/>
            <w:r>
              <w:t xml:space="preserve"> </w:t>
            </w:r>
            <w:proofErr w:type="spellStart"/>
            <w:r>
              <w:t>Ungu</w:t>
            </w:r>
            <w:proofErr w:type="spellEnd"/>
            <w:r>
              <w:t xml:space="preserve">, </w:t>
            </w:r>
            <w:proofErr w:type="spellStart"/>
            <w:r>
              <w:t>Mihye</w:t>
            </w:r>
            <w:proofErr w:type="spellEnd"/>
            <w:r>
              <w:t xml:space="preserve"> Won, David </w:t>
            </w:r>
            <w:proofErr w:type="spellStart"/>
            <w:r>
              <w:t>Treagust</w:t>
            </w:r>
            <w:proofErr w:type="spellEnd"/>
            <w:r>
              <w:t xml:space="preserve">, Mauro </w:t>
            </w:r>
            <w:proofErr w:type="spellStart"/>
            <w:r>
              <w:t>Mocerino</w:t>
            </w:r>
            <w:proofErr w:type="spellEnd"/>
            <w:r>
              <w:t>, Roy Tasker, Chin-Chung Tsai </w:t>
            </w:r>
          </w:p>
          <w:p w14:paraId="00000074" w14:textId="77777777" w:rsidR="00ED10F2" w:rsidRDefault="00ED10F2">
            <w:pPr>
              <w:ind w:left="357" w:hanging="357"/>
            </w:pPr>
          </w:p>
          <w:p w14:paraId="00000075" w14:textId="77777777" w:rsidR="00ED10F2" w:rsidRDefault="00ED10F2">
            <w:pPr>
              <w:ind w:left="357" w:hanging="357"/>
            </w:pPr>
          </w:p>
          <w:p w14:paraId="00000076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 Discussion at 3.15 pm</w:t>
            </w:r>
          </w:p>
          <w:p w14:paraId="00000077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Moderator: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8"/>
                <w:szCs w:val="28"/>
              </w:rPr>
              <w:t>TBA</w:t>
            </w:r>
          </w:p>
          <w:p w14:paraId="00000078" w14:textId="77777777" w:rsidR="00ED10F2" w:rsidRDefault="00ED10F2">
            <w:pPr>
              <w:ind w:left="357" w:hanging="357"/>
              <w:rPr>
                <w:color w:val="2F5496"/>
              </w:rPr>
            </w:pPr>
          </w:p>
        </w:tc>
        <w:tc>
          <w:tcPr>
            <w:tcW w:w="6707" w:type="dxa"/>
          </w:tcPr>
          <w:p w14:paraId="00000079" w14:textId="77777777" w:rsidR="00ED10F2" w:rsidRDefault="0064237A">
            <w:pPr>
              <w:pStyle w:val="Heading2"/>
              <w:outlineLvl w:val="1"/>
              <w:rPr>
                <w:b/>
                <w:color w:val="538135"/>
                <w:sz w:val="32"/>
                <w:szCs w:val="32"/>
              </w:rPr>
            </w:pPr>
            <w:r>
              <w:rPr>
                <w:b/>
                <w:color w:val="538135"/>
                <w:sz w:val="32"/>
                <w:szCs w:val="32"/>
              </w:rPr>
              <w:t>Theme: Employability skills</w:t>
            </w:r>
          </w:p>
          <w:p w14:paraId="0000007A" w14:textId="77777777" w:rsidR="00ED10F2" w:rsidRDefault="0064237A">
            <w:pPr>
              <w:rPr>
                <w:color w:val="538135"/>
                <w:sz w:val="28"/>
                <w:szCs w:val="28"/>
              </w:rPr>
            </w:pPr>
            <w:r>
              <w:rPr>
                <w:color w:val="538135"/>
                <w:sz w:val="28"/>
                <w:szCs w:val="28"/>
              </w:rPr>
              <w:t>Watch:</w:t>
            </w:r>
          </w:p>
          <w:p w14:paraId="0000007B" w14:textId="77777777" w:rsidR="00ED10F2" w:rsidRDefault="00ED10F2"/>
          <w:p w14:paraId="0000007C" w14:textId="77777777" w:rsidR="00ED10F2" w:rsidRDefault="0064237A">
            <w:pPr>
              <w:ind w:left="357"/>
            </w:pPr>
            <w:r>
              <w:rPr>
                <w:b/>
              </w:rPr>
              <w:t>#1:</w:t>
            </w:r>
            <w:r>
              <w:t xml:space="preserve"> </w:t>
            </w:r>
            <w:r>
              <w:rPr>
                <w:b/>
                <w:i/>
              </w:rPr>
              <w:t xml:space="preserve">Professional identity of Biomedical Science students: the interplay between skills, </w:t>
            </w:r>
            <w:proofErr w:type="gramStart"/>
            <w:r>
              <w:rPr>
                <w:b/>
                <w:i/>
              </w:rPr>
              <w:t>attributes</w:t>
            </w:r>
            <w:proofErr w:type="gramEnd"/>
            <w:r>
              <w:rPr>
                <w:b/>
                <w:i/>
              </w:rPr>
              <w:t xml:space="preserve"> and self-esteem</w:t>
            </w:r>
          </w:p>
          <w:p w14:paraId="0000007D" w14:textId="77777777" w:rsidR="00ED10F2" w:rsidRDefault="0064237A">
            <w:pPr>
              <w:ind w:left="357"/>
            </w:pPr>
            <w:r>
              <w:tab/>
              <w:t xml:space="preserve">Presenters: Emma Richards, Kay </w:t>
            </w:r>
            <w:proofErr w:type="spellStart"/>
            <w:r>
              <w:t>Colthorpe</w:t>
            </w:r>
            <w:proofErr w:type="spellEnd"/>
            <w:r>
              <w:t xml:space="preserve">, Louise Ainscough, </w:t>
            </w:r>
            <w:proofErr w:type="spellStart"/>
            <w:r>
              <w:t>J</w:t>
            </w:r>
            <w:r>
              <w:t>udit</w:t>
            </w:r>
            <w:proofErr w:type="spellEnd"/>
            <w:r>
              <w:t xml:space="preserve"> </w:t>
            </w:r>
            <w:proofErr w:type="spellStart"/>
            <w:r>
              <w:t>Kibedi</w:t>
            </w:r>
            <w:proofErr w:type="spellEnd"/>
          </w:p>
          <w:p w14:paraId="0000007E" w14:textId="77777777" w:rsidR="00ED10F2" w:rsidRDefault="00ED10F2">
            <w:pPr>
              <w:ind w:left="357"/>
            </w:pPr>
          </w:p>
          <w:p w14:paraId="0000007F" w14:textId="77777777" w:rsidR="00ED10F2" w:rsidRDefault="0064237A">
            <w:pPr>
              <w:ind w:left="357"/>
            </w:pPr>
            <w:r>
              <w:rPr>
                <w:b/>
              </w:rPr>
              <w:t>#2:</w:t>
            </w:r>
            <w:r>
              <w:t xml:space="preserve"> </w:t>
            </w:r>
            <w:r>
              <w:rPr>
                <w:b/>
                <w:i/>
              </w:rPr>
              <w:t>The URE as a vehicle for employability development – the supervisors speak</w:t>
            </w:r>
          </w:p>
          <w:p w14:paraId="00000080" w14:textId="77777777" w:rsidR="00ED10F2" w:rsidRDefault="0064237A">
            <w:pPr>
              <w:ind w:left="357"/>
            </w:pPr>
            <w:r>
              <w:tab/>
              <w:t>Presenters: Lauren J. Carpenter, Susan Rowland</w:t>
            </w:r>
          </w:p>
          <w:p w14:paraId="00000081" w14:textId="77777777" w:rsidR="00ED10F2" w:rsidRDefault="00ED10F2">
            <w:pPr>
              <w:ind w:left="357"/>
            </w:pPr>
          </w:p>
          <w:p w14:paraId="00000082" w14:textId="77777777" w:rsidR="00ED10F2" w:rsidRDefault="0064237A">
            <w:pPr>
              <w:ind w:left="357"/>
            </w:pPr>
            <w:r>
              <w:rPr>
                <w:b/>
              </w:rPr>
              <w:t>#3:</w:t>
            </w:r>
            <w:r>
              <w:t xml:space="preserve"> </w:t>
            </w:r>
            <w:r>
              <w:rPr>
                <w:b/>
                <w:i/>
              </w:rPr>
              <w:t>Interdisciplinary, industry-based work-integrated learning (WIL): Transformative educational experiences for st</w:t>
            </w:r>
            <w:r>
              <w:rPr>
                <w:b/>
                <w:i/>
              </w:rPr>
              <w:t xml:space="preserve">udents, </w:t>
            </w:r>
            <w:proofErr w:type="gramStart"/>
            <w:r>
              <w:rPr>
                <w:b/>
                <w:i/>
              </w:rPr>
              <w:t>teachers</w:t>
            </w:r>
            <w:proofErr w:type="gramEnd"/>
            <w:r>
              <w:rPr>
                <w:b/>
                <w:i/>
              </w:rPr>
              <w:t xml:space="preserve"> and industry partners</w:t>
            </w:r>
          </w:p>
          <w:p w14:paraId="00000083" w14:textId="77777777" w:rsidR="00ED10F2" w:rsidRDefault="0064237A">
            <w:pPr>
              <w:ind w:left="357"/>
            </w:pPr>
            <w:r>
              <w:tab/>
              <w:t xml:space="preserve">Presenters: Sonia Ferns, Susan Benson, </w:t>
            </w:r>
            <w:proofErr w:type="spellStart"/>
            <w:r>
              <w:t>Aloke</w:t>
            </w:r>
            <w:proofErr w:type="spellEnd"/>
            <w:r>
              <w:t xml:space="preserve"> </w:t>
            </w:r>
            <w:proofErr w:type="spellStart"/>
            <w:r>
              <w:t>Phatak</w:t>
            </w:r>
            <w:proofErr w:type="spellEnd"/>
            <w:r>
              <w:t xml:space="preserve">, Nina </w:t>
            </w:r>
            <w:proofErr w:type="spellStart"/>
            <w:r>
              <w:t>Kumagai</w:t>
            </w:r>
            <w:proofErr w:type="spellEnd"/>
            <w:r>
              <w:t>, Zachary Riordan</w:t>
            </w:r>
          </w:p>
          <w:p w14:paraId="00000084" w14:textId="77777777" w:rsidR="00ED10F2" w:rsidRDefault="00ED10F2"/>
          <w:p w14:paraId="00000085" w14:textId="77777777" w:rsidR="00ED10F2" w:rsidRDefault="0064237A">
            <w:pPr>
              <w:ind w:lef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 Discussion at 3.15</w:t>
            </w:r>
          </w:p>
          <w:p w14:paraId="00000086" w14:textId="77777777" w:rsidR="00ED10F2" w:rsidRDefault="00ED10F2">
            <w:pPr>
              <w:ind w:left="357"/>
              <w:rPr>
                <w:sz w:val="28"/>
                <w:szCs w:val="28"/>
              </w:rPr>
            </w:pPr>
          </w:p>
          <w:p w14:paraId="00000087" w14:textId="77777777" w:rsidR="00ED10F2" w:rsidRDefault="0064237A">
            <w:pPr>
              <w:pStyle w:val="Heading2"/>
              <w:outlineLvl w:val="1"/>
              <w:rPr>
                <w:sz w:val="22"/>
                <w:szCs w:val="22"/>
              </w:rPr>
            </w:pPr>
            <w:bookmarkStart w:id="2" w:name="_heading=h.t6huqy8duotj" w:colFirst="0" w:colLast="0"/>
            <w:bookmarkEnd w:id="2"/>
            <w:r>
              <w:rPr>
                <w:sz w:val="28"/>
                <w:szCs w:val="28"/>
              </w:rPr>
              <w:t>Moderator:</w:t>
            </w:r>
            <w:r>
              <w:rPr>
                <w:sz w:val="22"/>
                <w:szCs w:val="22"/>
              </w:rPr>
              <w:tab/>
            </w:r>
            <w:r>
              <w:rPr>
                <w:sz w:val="28"/>
                <w:szCs w:val="28"/>
              </w:rPr>
              <w:t>TBA</w:t>
            </w:r>
          </w:p>
          <w:p w14:paraId="00000088" w14:textId="77777777" w:rsidR="00ED10F2" w:rsidRDefault="00ED10F2">
            <w:pPr>
              <w:pStyle w:val="Heading2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89" w14:textId="77777777" w:rsidR="00ED10F2" w:rsidRDefault="00ED10F2">
            <w:pPr>
              <w:ind w:left="357" w:hanging="357"/>
              <w:rPr>
                <w:sz w:val="20"/>
                <w:szCs w:val="20"/>
              </w:rPr>
            </w:pPr>
          </w:p>
        </w:tc>
      </w:tr>
      <w:tr w:rsidR="00ED10F2" w14:paraId="33261A32" w14:textId="77777777">
        <w:tc>
          <w:tcPr>
            <w:tcW w:w="2102" w:type="dxa"/>
            <w:shd w:val="clear" w:color="auto" w:fill="E7E6E6"/>
          </w:tcPr>
          <w:p w14:paraId="0000008A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 – 4.00</w:t>
            </w:r>
          </w:p>
        </w:tc>
        <w:tc>
          <w:tcPr>
            <w:tcW w:w="18819" w:type="dxa"/>
            <w:gridSpan w:val="3"/>
            <w:shd w:val="clear" w:color="auto" w:fill="E7E6E6"/>
          </w:tcPr>
          <w:p w14:paraId="0000008B" w14:textId="77777777" w:rsidR="00ED10F2" w:rsidRDefault="0064237A">
            <w:pPr>
              <w:ind w:left="357" w:hanging="35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Coffee break</w:t>
            </w:r>
          </w:p>
        </w:tc>
      </w:tr>
      <w:tr w:rsidR="00ED10F2" w14:paraId="57C7C641" w14:textId="77777777">
        <w:tc>
          <w:tcPr>
            <w:tcW w:w="2102" w:type="dxa"/>
            <w:shd w:val="clear" w:color="auto" w:fill="E2EFD9"/>
          </w:tcPr>
          <w:p w14:paraId="0000008E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4.00-5.00 AEST</w:t>
            </w:r>
          </w:p>
        </w:tc>
        <w:tc>
          <w:tcPr>
            <w:tcW w:w="18819" w:type="dxa"/>
            <w:gridSpan w:val="3"/>
            <w:shd w:val="clear" w:color="auto" w:fill="E2EFD9"/>
          </w:tcPr>
          <w:p w14:paraId="0000008F" w14:textId="77777777" w:rsidR="00ED10F2" w:rsidRDefault="0064237A">
            <w:pPr>
              <w:ind w:left="357" w:hanging="35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Discussion Panel:</w:t>
            </w:r>
            <w:r>
              <w:rPr>
                <w:color w:val="2F5496"/>
                <w:sz w:val="36"/>
                <w:szCs w:val="36"/>
              </w:rPr>
              <w:t xml:space="preserve"> </w:t>
            </w:r>
            <w:r>
              <w:rPr>
                <w:color w:val="2F5496"/>
                <w:sz w:val="36"/>
                <w:szCs w:val="36"/>
              </w:rPr>
              <w:tab/>
            </w:r>
            <w:r>
              <w:rPr>
                <w:color w:val="2F5496"/>
                <w:sz w:val="32"/>
                <w:szCs w:val="32"/>
              </w:rPr>
              <w:tab/>
            </w:r>
            <w:r>
              <w:rPr>
                <w:b/>
                <w:i/>
                <w:color w:val="2F5496"/>
                <w:sz w:val="36"/>
                <w:szCs w:val="36"/>
              </w:rPr>
              <w:t>L</w:t>
            </w:r>
            <w:r>
              <w:rPr>
                <w:b/>
                <w:i/>
                <w:color w:val="2F5496"/>
                <w:sz w:val="32"/>
                <w:szCs w:val="32"/>
              </w:rPr>
              <w:t>earning from each other: a tale of two education sectors</w:t>
            </w:r>
            <w:r>
              <w:rPr>
                <w:sz w:val="36"/>
                <w:szCs w:val="36"/>
              </w:rPr>
              <w:t xml:space="preserve"> </w:t>
            </w:r>
          </w:p>
          <w:p w14:paraId="00000090" w14:textId="77777777" w:rsidR="00ED10F2" w:rsidRDefault="0064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8"/>
              <w:rPr>
                <w:color w:val="000000"/>
                <w:sz w:val="28"/>
                <w:szCs w:val="28"/>
              </w:rPr>
            </w:pPr>
            <w:bookmarkStart w:id="3" w:name="_heading=h.gjdgxs" w:colFirst="0" w:colLast="0"/>
            <w:bookmarkEnd w:id="3"/>
            <w:r>
              <w:rPr>
                <w:color w:val="000000"/>
                <w:sz w:val="28"/>
                <w:szCs w:val="28"/>
              </w:rPr>
              <w:t>Alice Motion (The University of Sydney), Gen Firmer (PhD student, former teacher in Northern Territory), Hilary Coleman (University of Canberra), Helen Georgiou (University of Wollongong), Ingrid Mendes (science/physics teacher at Sydney Grammar)</w:t>
            </w:r>
          </w:p>
          <w:p w14:paraId="00000091" w14:textId="77777777" w:rsidR="00ED10F2" w:rsidRDefault="00ED10F2">
            <w:pPr>
              <w:ind w:left="2268"/>
              <w:rPr>
                <w:color w:val="2F5496"/>
                <w:sz w:val="28"/>
                <w:szCs w:val="28"/>
              </w:rPr>
            </w:pPr>
          </w:p>
          <w:p w14:paraId="00000092" w14:textId="77777777" w:rsidR="00ED10F2" w:rsidRDefault="0064237A">
            <w:pPr>
              <w:ind w:left="2268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Convener: </w:t>
            </w:r>
            <w:r>
              <w:rPr>
                <w:sz w:val="28"/>
                <w:szCs w:val="28"/>
              </w:rPr>
              <w:t>Dr Reyne Pullen (The University of Sydney)</w:t>
            </w:r>
          </w:p>
          <w:p w14:paraId="00000093" w14:textId="77777777" w:rsidR="00ED10F2" w:rsidRDefault="00ED10F2">
            <w:pPr>
              <w:ind w:left="357" w:hanging="357"/>
              <w:rPr>
                <w:color w:val="2F5496"/>
                <w:sz w:val="32"/>
                <w:szCs w:val="32"/>
              </w:rPr>
            </w:pPr>
          </w:p>
          <w:p w14:paraId="00000094" w14:textId="77777777" w:rsidR="00ED10F2" w:rsidRDefault="0064237A">
            <w:pPr>
              <w:ind w:left="2268"/>
            </w:pPr>
            <w:r>
              <w:rPr>
                <w:color w:val="000000"/>
              </w:rPr>
              <w:t>[Click on the name of each Panel member to read more about their personal story]</w:t>
            </w:r>
          </w:p>
          <w:p w14:paraId="00000095" w14:textId="77777777" w:rsidR="00ED10F2" w:rsidRDefault="00ED10F2"/>
        </w:tc>
      </w:tr>
      <w:tr w:rsidR="00ED10F2" w14:paraId="260DA081" w14:textId="77777777">
        <w:tc>
          <w:tcPr>
            <w:tcW w:w="2102" w:type="dxa"/>
            <w:shd w:val="clear" w:color="auto" w:fill="auto"/>
          </w:tcPr>
          <w:p w14:paraId="00000098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 pm AEST</w:t>
            </w:r>
          </w:p>
        </w:tc>
        <w:tc>
          <w:tcPr>
            <w:tcW w:w="18819" w:type="dxa"/>
            <w:gridSpan w:val="3"/>
            <w:shd w:val="clear" w:color="auto" w:fill="auto"/>
          </w:tcPr>
          <w:p w14:paraId="00000099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  <w:b/>
                <w:color w:val="538135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Conference close</w:t>
            </w:r>
          </w:p>
        </w:tc>
      </w:tr>
      <w:tr w:rsidR="00ED10F2" w14:paraId="73D3361F" w14:textId="77777777">
        <w:tc>
          <w:tcPr>
            <w:tcW w:w="2102" w:type="dxa"/>
            <w:shd w:val="clear" w:color="auto" w:fill="E7E6E6"/>
          </w:tcPr>
          <w:p w14:paraId="0000009C" w14:textId="77777777" w:rsidR="00ED10F2" w:rsidRDefault="0064237A">
            <w:p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pm AEST</w:t>
            </w:r>
          </w:p>
        </w:tc>
        <w:tc>
          <w:tcPr>
            <w:tcW w:w="18819" w:type="dxa"/>
            <w:gridSpan w:val="3"/>
            <w:shd w:val="clear" w:color="auto" w:fill="E7E6E6"/>
          </w:tcPr>
          <w:p w14:paraId="0000009D" w14:textId="77777777" w:rsidR="00ED10F2" w:rsidRDefault="0064237A">
            <w:pPr>
              <w:pStyle w:val="Heading2"/>
              <w:outlineLvl w:val="1"/>
              <w:rPr>
                <w:rFonts w:ascii="Calibri" w:eastAsia="Calibri" w:hAnsi="Calibri" w:cs="Calibri"/>
                <w:b/>
                <w:color w:val="538135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36"/>
                <w:szCs w:val="36"/>
              </w:rPr>
              <w:t>Trivia Night</w:t>
            </w:r>
          </w:p>
          <w:p w14:paraId="0000009E" w14:textId="77777777" w:rsidR="00ED10F2" w:rsidRDefault="006423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Participants need to arrange their own group meeting links.  One member of each group tunes into the Twitch stream and shares so that the whole group can hear.</w:t>
            </w:r>
          </w:p>
        </w:tc>
      </w:tr>
    </w:tbl>
    <w:p w14:paraId="000000A1" w14:textId="77777777" w:rsidR="00ED10F2" w:rsidRDefault="00ED10F2">
      <w:pPr>
        <w:spacing w:after="0" w:line="240" w:lineRule="auto"/>
        <w:rPr>
          <w:sz w:val="20"/>
          <w:szCs w:val="20"/>
        </w:rPr>
      </w:pPr>
    </w:p>
    <w:p w14:paraId="000000A2" w14:textId="77777777" w:rsidR="00ED10F2" w:rsidRDefault="0064237A">
      <w:pPr>
        <w:spacing w:after="0" w:line="24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ED10F2">
      <w:pgSz w:w="23811" w:h="16838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F2"/>
    <w:rsid w:val="0064237A"/>
    <w:rsid w:val="00E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AAF23-B55E-48DA-8B3D-A96AA131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9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358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A0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2B0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B62E5"/>
    <w:rPr>
      <w:color w:val="954F72" w:themeColor="followedHyperlink"/>
      <w:u w:val="single"/>
    </w:rPr>
  </w:style>
  <w:style w:type="character" w:customStyle="1" w:styleId="mark4xkirq4lz">
    <w:name w:val="mark4xkirq4lz"/>
    <w:basedOn w:val="DefaultParagraphFont"/>
    <w:rsid w:val="00204F56"/>
  </w:style>
  <w:style w:type="character" w:styleId="UnresolvedMention">
    <w:name w:val="Unresolved Mention"/>
    <w:basedOn w:val="DefaultParagraphFont"/>
    <w:uiPriority w:val="99"/>
    <w:semiHidden/>
    <w:unhideWhenUsed/>
    <w:rsid w:val="007468E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79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C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F421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209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m25lOx+xc718QK2+sDIhszT7A==">AMUW2mXhmC6xD5auzgbCxpB7UPl5WpKxWdkfXIQ5EtaPtdpGJcNc5vjKhr9u7fUJy/96YDAxHPO0QeWuMsysycOJfW28su8tFmPaM49kGVTP0CxgM/x0YmVP5TVU38W5F9wJu9v0cg5pWQkQpcgE5jrksIWP1H6//K0GE1Ff2FkjXX3YluldGmE7UFHk1Rifq2u3ZmP6RbIq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 Lopes</dc:creator>
  <cp:lastModifiedBy>Glenda Key</cp:lastModifiedBy>
  <cp:revision>2</cp:revision>
  <dcterms:created xsi:type="dcterms:W3CDTF">2021-08-17T00:24:00Z</dcterms:created>
  <dcterms:modified xsi:type="dcterms:W3CDTF">2021-08-17T00:24:00Z</dcterms:modified>
</cp:coreProperties>
</file>